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45BD" w14:textId="77777777" w:rsidR="00F32F20" w:rsidRDefault="00F32F20" w:rsidP="00F32F20">
      <w:pPr>
        <w:pStyle w:val="PlainText"/>
        <w:jc w:val="both"/>
        <w:rPr>
          <w:rFonts w:ascii="Gill Sans MT" w:hAnsi="Gill Sans MT"/>
          <w:sz w:val="22"/>
          <w:szCs w:val="22"/>
        </w:rPr>
      </w:pPr>
    </w:p>
    <w:tbl>
      <w:tblPr>
        <w:tblStyle w:val="TableGrid"/>
        <w:tblW w:w="0" w:type="auto"/>
        <w:jc w:val="center"/>
        <w:tblLook w:val="04A0" w:firstRow="1" w:lastRow="0" w:firstColumn="1" w:lastColumn="0" w:noHBand="0" w:noVBand="1"/>
      </w:tblPr>
      <w:tblGrid>
        <w:gridCol w:w="9016"/>
      </w:tblGrid>
      <w:tr w:rsidR="00F32F20" w:rsidRPr="00F2518C" w14:paraId="1D299223" w14:textId="77777777" w:rsidTr="00912FCD">
        <w:trPr>
          <w:jc w:val="center"/>
        </w:trPr>
        <w:tc>
          <w:tcPr>
            <w:tcW w:w="9016" w:type="dxa"/>
          </w:tcPr>
          <w:p w14:paraId="6E1E582C" w14:textId="77777777" w:rsidR="00F32F20" w:rsidRPr="00F2518C" w:rsidRDefault="00F32F20" w:rsidP="00912FCD">
            <w:pPr>
              <w:rPr>
                <w:b/>
                <w:bCs/>
              </w:rPr>
            </w:pPr>
            <w:r>
              <w:rPr>
                <w:rFonts w:ascii="Gill Sans MT" w:hAnsi="Gill Sans MT"/>
                <w:b/>
                <w:bCs/>
                <w:lang w:val="en-US"/>
              </w:rPr>
              <w:t>MIFIDPRU 8.6 – Remuneration</w:t>
            </w:r>
          </w:p>
        </w:tc>
      </w:tr>
    </w:tbl>
    <w:p w14:paraId="5ED80FD2" w14:textId="77777777" w:rsidR="00F32F20" w:rsidRDefault="00F32F20" w:rsidP="00F32F20"/>
    <w:p w14:paraId="21E3D397" w14:textId="77777777" w:rsidR="00F32F20" w:rsidRDefault="00F32F20" w:rsidP="00F32F20">
      <w:pPr>
        <w:pStyle w:val="PlainText"/>
        <w:jc w:val="both"/>
        <w:rPr>
          <w:rFonts w:ascii="Gill Sans MT" w:hAnsi="Gill Sans MT"/>
          <w:sz w:val="22"/>
          <w:szCs w:val="22"/>
        </w:rPr>
      </w:pPr>
      <w:r>
        <w:rPr>
          <w:rFonts w:ascii="Gill Sans MT" w:hAnsi="Gill Sans MT"/>
          <w:sz w:val="22"/>
          <w:szCs w:val="22"/>
        </w:rPr>
        <w:t>Signal Capital</w:t>
      </w:r>
      <w:r w:rsidRPr="00005313">
        <w:rPr>
          <w:rFonts w:ascii="Gill Sans MT" w:hAnsi="Gill Sans MT"/>
          <w:sz w:val="22"/>
          <w:szCs w:val="22"/>
        </w:rPr>
        <w:t xml:space="preserve"> is subject to both the ‘AIFM Remuneration Code’ and ‘MIFIDPRU Remuneration Code’. The Firm considers that the MIFIDPRU Remuneration requirements, for SNI MIFIDPRU </w:t>
      </w:r>
      <w:r>
        <w:rPr>
          <w:rFonts w:ascii="Gill Sans MT" w:hAnsi="Gill Sans MT"/>
          <w:sz w:val="22"/>
          <w:szCs w:val="22"/>
        </w:rPr>
        <w:t>I</w:t>
      </w:r>
      <w:r w:rsidRPr="00005313">
        <w:rPr>
          <w:rFonts w:ascii="Gill Sans MT" w:hAnsi="Gill Sans MT"/>
          <w:sz w:val="22"/>
          <w:szCs w:val="22"/>
        </w:rPr>
        <w:t xml:space="preserve">nvestment </w:t>
      </w:r>
      <w:r>
        <w:rPr>
          <w:rFonts w:ascii="Gill Sans MT" w:hAnsi="Gill Sans MT"/>
          <w:sz w:val="22"/>
          <w:szCs w:val="22"/>
        </w:rPr>
        <w:t>F</w:t>
      </w:r>
      <w:r w:rsidRPr="00005313">
        <w:rPr>
          <w:rFonts w:ascii="Gill Sans MT" w:hAnsi="Gill Sans MT"/>
          <w:sz w:val="22"/>
          <w:szCs w:val="22"/>
        </w:rPr>
        <w:t xml:space="preserve">irms, are in general less demanding than the requirements under the AIFM Remuneration Code. </w:t>
      </w:r>
    </w:p>
    <w:p w14:paraId="3C391BB3" w14:textId="77777777" w:rsidR="00F32F20" w:rsidRDefault="00F32F20" w:rsidP="00F32F20">
      <w:pPr>
        <w:pStyle w:val="PlainText"/>
        <w:jc w:val="both"/>
        <w:rPr>
          <w:rFonts w:ascii="Gill Sans MT" w:hAnsi="Gill Sans MT"/>
          <w:sz w:val="22"/>
          <w:szCs w:val="22"/>
        </w:rPr>
      </w:pPr>
    </w:p>
    <w:p w14:paraId="75E885AE" w14:textId="77777777" w:rsidR="00F32F20" w:rsidRDefault="00F32F20" w:rsidP="00F32F20">
      <w:pPr>
        <w:pStyle w:val="PlainText"/>
        <w:jc w:val="both"/>
        <w:rPr>
          <w:rFonts w:ascii="Gill Sans MT" w:hAnsi="Gill Sans MT"/>
          <w:sz w:val="22"/>
          <w:szCs w:val="22"/>
        </w:rPr>
      </w:pPr>
      <w:r w:rsidRPr="00005313">
        <w:rPr>
          <w:rFonts w:ascii="Gill Sans MT" w:hAnsi="Gill Sans MT"/>
          <w:sz w:val="22"/>
          <w:szCs w:val="22"/>
        </w:rPr>
        <w:t xml:space="preserve">Under SYSC 19G.1.20 R, a firm such as </w:t>
      </w:r>
      <w:r>
        <w:rPr>
          <w:rFonts w:ascii="Gill Sans MT" w:hAnsi="Gill Sans MT"/>
          <w:sz w:val="22"/>
          <w:szCs w:val="22"/>
        </w:rPr>
        <w:t>Signal Capital,</w:t>
      </w:r>
      <w:r w:rsidRPr="00005313">
        <w:rPr>
          <w:rFonts w:ascii="Gill Sans MT" w:hAnsi="Gill Sans MT"/>
          <w:sz w:val="22"/>
          <w:szCs w:val="22"/>
        </w:rPr>
        <w:t xml:space="preserve"> which is subject to multiple remuneration codes, with provisions imposing different remuneration requirements, only one of which can be complied with, must comply with the most stringent of the relevant provisions.  </w:t>
      </w:r>
    </w:p>
    <w:p w14:paraId="745D5460" w14:textId="77777777" w:rsidR="00F32F20" w:rsidRPr="00B9042A" w:rsidRDefault="00F32F20" w:rsidP="00F32F20">
      <w:pPr>
        <w:pStyle w:val="PlainText"/>
        <w:jc w:val="both"/>
        <w:rPr>
          <w:rFonts w:ascii="Gill Sans MT" w:hAnsi="Gill Sans MT"/>
          <w:sz w:val="22"/>
          <w:szCs w:val="22"/>
        </w:rPr>
      </w:pPr>
    </w:p>
    <w:p w14:paraId="3B7AE3EE" w14:textId="77777777" w:rsidR="00F32F20" w:rsidRDefault="00F32F20" w:rsidP="00F32F20">
      <w:pPr>
        <w:pStyle w:val="PlainText"/>
        <w:jc w:val="both"/>
        <w:rPr>
          <w:rFonts w:ascii="Gill Sans MT" w:hAnsi="Gill Sans MT"/>
          <w:sz w:val="22"/>
          <w:szCs w:val="22"/>
        </w:rPr>
      </w:pPr>
      <w:r w:rsidRPr="0062369D">
        <w:rPr>
          <w:rFonts w:ascii="Gill Sans MT" w:hAnsi="Gill Sans MT"/>
          <w:sz w:val="22"/>
          <w:szCs w:val="22"/>
        </w:rPr>
        <w:t xml:space="preserve">The Firm therefore complies with the most stringent </w:t>
      </w:r>
      <w:r>
        <w:rPr>
          <w:rFonts w:ascii="Gill Sans MT" w:hAnsi="Gill Sans MT"/>
          <w:sz w:val="22"/>
          <w:szCs w:val="22"/>
        </w:rPr>
        <w:t>provisions</w:t>
      </w:r>
      <w:r w:rsidRPr="0062369D">
        <w:rPr>
          <w:rFonts w:ascii="Gill Sans MT" w:hAnsi="Gill Sans MT"/>
          <w:sz w:val="22"/>
          <w:szCs w:val="22"/>
        </w:rPr>
        <w:t xml:space="preserve">, which it considers </w:t>
      </w:r>
      <w:r>
        <w:rPr>
          <w:rFonts w:ascii="Gill Sans MT" w:hAnsi="Gill Sans MT"/>
          <w:sz w:val="22"/>
          <w:szCs w:val="22"/>
        </w:rPr>
        <w:t>are found in the</w:t>
      </w:r>
      <w:r w:rsidRPr="0062369D">
        <w:rPr>
          <w:rFonts w:ascii="Gill Sans MT" w:hAnsi="Gill Sans MT"/>
          <w:sz w:val="22"/>
          <w:szCs w:val="22"/>
        </w:rPr>
        <w:t xml:space="preserve"> AIFM Remuneration Code, with respect to </w:t>
      </w:r>
      <w:proofErr w:type="gramStart"/>
      <w:r w:rsidRPr="0062369D">
        <w:rPr>
          <w:rFonts w:ascii="Gill Sans MT" w:hAnsi="Gill Sans MT"/>
          <w:sz w:val="22"/>
          <w:szCs w:val="22"/>
        </w:rPr>
        <w:t>all of</w:t>
      </w:r>
      <w:proofErr w:type="gramEnd"/>
      <w:r w:rsidRPr="0062369D">
        <w:rPr>
          <w:rFonts w:ascii="Gill Sans MT" w:hAnsi="Gill Sans MT"/>
          <w:sz w:val="22"/>
          <w:szCs w:val="22"/>
        </w:rPr>
        <w:t xml:space="preserve"> its </w:t>
      </w:r>
      <w:r>
        <w:rPr>
          <w:rFonts w:ascii="Gill Sans MT" w:hAnsi="Gill Sans MT"/>
          <w:sz w:val="22"/>
          <w:szCs w:val="22"/>
        </w:rPr>
        <w:t>personnel</w:t>
      </w:r>
      <w:r w:rsidRPr="0062369D">
        <w:rPr>
          <w:rFonts w:ascii="Gill Sans MT" w:hAnsi="Gill Sans MT"/>
          <w:sz w:val="22"/>
          <w:szCs w:val="22"/>
        </w:rPr>
        <w:t xml:space="preserve">, all of whom are considered to be involved with the AIFs </w:t>
      </w:r>
      <w:r>
        <w:rPr>
          <w:rFonts w:ascii="Gill Sans MT" w:hAnsi="Gill Sans MT"/>
          <w:sz w:val="22"/>
          <w:szCs w:val="22"/>
        </w:rPr>
        <w:t>to whom the Firm are the</w:t>
      </w:r>
      <w:r w:rsidRPr="0062369D">
        <w:rPr>
          <w:rFonts w:ascii="Gill Sans MT" w:hAnsi="Gill Sans MT"/>
          <w:sz w:val="22"/>
          <w:szCs w:val="22"/>
        </w:rPr>
        <w:t xml:space="preserve"> AIFM to.  </w:t>
      </w:r>
    </w:p>
    <w:p w14:paraId="74870171" w14:textId="77777777" w:rsidR="00F32F20" w:rsidRDefault="00F32F20" w:rsidP="00F32F20">
      <w:pPr>
        <w:pStyle w:val="PlainText"/>
        <w:jc w:val="both"/>
        <w:rPr>
          <w:rFonts w:ascii="Gill Sans MT" w:hAnsi="Gill Sans MT"/>
          <w:sz w:val="22"/>
          <w:szCs w:val="22"/>
        </w:rPr>
      </w:pPr>
    </w:p>
    <w:p w14:paraId="4D58A05D" w14:textId="7FBBA2AF" w:rsidR="00F32F20" w:rsidRPr="00F32F20" w:rsidRDefault="00F32F20" w:rsidP="00F32F20">
      <w:pPr>
        <w:keepNext/>
        <w:jc w:val="both"/>
        <w:rPr>
          <w:rFonts w:ascii="Gill Sans MT" w:hAnsi="Gill Sans MT" w:cs="Courier New"/>
        </w:rPr>
      </w:pPr>
      <w:r w:rsidRPr="00005313">
        <w:rPr>
          <w:rFonts w:ascii="Gill Sans MT" w:hAnsi="Gill Sans MT" w:cs="Courier New"/>
        </w:rPr>
        <w:t xml:space="preserve">The primary reason for this conclusion, </w:t>
      </w:r>
      <w:r>
        <w:rPr>
          <w:rFonts w:ascii="Gill Sans MT" w:hAnsi="Gill Sans MT" w:cs="Courier New"/>
        </w:rPr>
        <w:t>is</w:t>
      </w:r>
      <w:r w:rsidRPr="00005313">
        <w:rPr>
          <w:rFonts w:ascii="Gill Sans MT" w:hAnsi="Gill Sans MT" w:cs="Courier New"/>
        </w:rPr>
        <w:t xml:space="preserve"> the requirements to identify Material Risk Takers as </w:t>
      </w:r>
      <w:r>
        <w:rPr>
          <w:rFonts w:ascii="Gill Sans MT" w:hAnsi="Gill Sans MT" w:cs="Courier New"/>
        </w:rPr>
        <w:t>AIFMD R</w:t>
      </w:r>
      <w:r w:rsidRPr="00005313">
        <w:rPr>
          <w:rFonts w:ascii="Gill Sans MT" w:hAnsi="Gill Sans MT" w:cs="Courier New"/>
        </w:rPr>
        <w:t xml:space="preserve">emuneration </w:t>
      </w:r>
      <w:r>
        <w:rPr>
          <w:rFonts w:ascii="Gill Sans MT" w:hAnsi="Gill Sans MT" w:cs="Courier New"/>
        </w:rPr>
        <w:t>C</w:t>
      </w:r>
      <w:r w:rsidRPr="00005313">
        <w:rPr>
          <w:rFonts w:ascii="Gill Sans MT" w:hAnsi="Gill Sans MT" w:cs="Courier New"/>
        </w:rPr>
        <w:t xml:space="preserve">ode staff and consider the application of the payout process rules, unless the Firm considers that it is appropriate to disapply the payout process rules.  </w:t>
      </w:r>
    </w:p>
    <w:p w14:paraId="794B4FB0" w14:textId="5C5D0637" w:rsidR="00F32F20" w:rsidRPr="00F32F20" w:rsidRDefault="00F32F20" w:rsidP="00F32F20">
      <w:pPr>
        <w:keepNext/>
        <w:jc w:val="both"/>
        <w:rPr>
          <w:rFonts w:ascii="Gill Sans MT" w:hAnsi="Gill Sans MT"/>
          <w:b/>
          <w:bCs/>
          <w:lang w:val="en-US"/>
        </w:rPr>
      </w:pPr>
      <w:r>
        <w:rPr>
          <w:rFonts w:ascii="Gill Sans MT" w:hAnsi="Gill Sans MT"/>
          <w:b/>
          <w:bCs/>
          <w:lang w:val="en-US"/>
        </w:rPr>
        <w:t>Distributions to Senior Management and Owners</w:t>
      </w:r>
    </w:p>
    <w:p w14:paraId="593CFF82" w14:textId="77777777" w:rsidR="00F32F20" w:rsidRPr="00005313" w:rsidRDefault="00F32F20" w:rsidP="00F32F20">
      <w:pPr>
        <w:pStyle w:val="PlainText"/>
        <w:jc w:val="both"/>
        <w:rPr>
          <w:rFonts w:ascii="Gill Sans MT" w:hAnsi="Gill Sans MT"/>
          <w:sz w:val="22"/>
          <w:szCs w:val="22"/>
        </w:rPr>
      </w:pPr>
      <w:r w:rsidRPr="00005313">
        <w:rPr>
          <w:rFonts w:ascii="Gill Sans MT" w:hAnsi="Gill Sans MT"/>
          <w:sz w:val="22"/>
          <w:szCs w:val="22"/>
        </w:rPr>
        <w:t xml:space="preserve">In accordance with the guidance in SYSC 19G.4.4, at the end of each year, the residual profits of the Firm, which is a private limited company, are distributed among the owners (shareholders).  </w:t>
      </w:r>
    </w:p>
    <w:p w14:paraId="1422FFB6" w14:textId="77777777" w:rsidR="00F32F20" w:rsidRPr="00005313" w:rsidRDefault="00F32F20" w:rsidP="00F32F20">
      <w:pPr>
        <w:pStyle w:val="PlainText"/>
        <w:jc w:val="both"/>
        <w:rPr>
          <w:rFonts w:ascii="Gill Sans MT" w:hAnsi="Gill Sans MT"/>
          <w:sz w:val="22"/>
          <w:szCs w:val="22"/>
        </w:rPr>
      </w:pPr>
    </w:p>
    <w:p w14:paraId="1DB8A8A9" w14:textId="77777777" w:rsidR="00F32F20" w:rsidRPr="00005313" w:rsidRDefault="00F32F20" w:rsidP="00F32F20">
      <w:pPr>
        <w:pStyle w:val="PlainText"/>
        <w:jc w:val="both"/>
        <w:rPr>
          <w:rFonts w:ascii="Gill Sans MT" w:hAnsi="Gill Sans MT"/>
          <w:sz w:val="22"/>
          <w:szCs w:val="22"/>
        </w:rPr>
      </w:pPr>
      <w:r w:rsidRPr="00005313">
        <w:rPr>
          <w:rFonts w:ascii="Gill Sans MT" w:hAnsi="Gill Sans MT"/>
          <w:sz w:val="22"/>
          <w:szCs w:val="22"/>
        </w:rPr>
        <w:t>The level of ownership of each shareholder is reflected in the proportion of shares they have. As residual profits are distributed according to the shares and are not linked to work or performance, this is not considered to be remuneration for the purpose of the Firm’s Remuneration Policy.</w:t>
      </w:r>
    </w:p>
    <w:p w14:paraId="502B1012" w14:textId="77777777" w:rsidR="00F32F20" w:rsidRPr="00005313" w:rsidRDefault="00F32F20" w:rsidP="00F32F20">
      <w:pPr>
        <w:pStyle w:val="PlainText"/>
        <w:jc w:val="both"/>
        <w:rPr>
          <w:rFonts w:ascii="Gill Sans MT" w:hAnsi="Gill Sans MT"/>
          <w:sz w:val="22"/>
          <w:szCs w:val="22"/>
        </w:rPr>
      </w:pPr>
    </w:p>
    <w:p w14:paraId="1F14509E" w14:textId="77777777" w:rsidR="00F32F20" w:rsidRDefault="00F32F20" w:rsidP="00F32F20">
      <w:pPr>
        <w:pStyle w:val="PlainText"/>
        <w:jc w:val="both"/>
        <w:rPr>
          <w:rFonts w:ascii="Gill Sans MT" w:hAnsi="Gill Sans MT"/>
          <w:sz w:val="22"/>
          <w:szCs w:val="22"/>
        </w:rPr>
      </w:pPr>
      <w:r w:rsidRPr="00005313">
        <w:rPr>
          <w:rFonts w:ascii="Gill Sans MT" w:hAnsi="Gill Sans MT"/>
          <w:sz w:val="22"/>
          <w:szCs w:val="22"/>
        </w:rPr>
        <w:t>All other distributions received by Senior Managers (who may also be owners) are classed as fixed or variable, depending on whether they are discretionary and based on performance of the individual or their business unit.</w:t>
      </w:r>
    </w:p>
    <w:p w14:paraId="69657B36" w14:textId="77777777" w:rsidR="00F32F20" w:rsidRPr="00182C83" w:rsidRDefault="00F32F20" w:rsidP="00F32F20">
      <w:pPr>
        <w:pStyle w:val="PlainText"/>
        <w:rPr>
          <w:rFonts w:ascii="Gill Sans MT" w:hAnsi="Gill Sans MT"/>
          <w:sz w:val="22"/>
          <w:szCs w:val="22"/>
        </w:rPr>
      </w:pPr>
    </w:p>
    <w:p w14:paraId="03E4A1AA" w14:textId="77C44285" w:rsidR="00F32F20" w:rsidRPr="00F32F20" w:rsidRDefault="00F32F20" w:rsidP="00F32F20">
      <w:pPr>
        <w:keepNext/>
        <w:jc w:val="both"/>
        <w:rPr>
          <w:rFonts w:ascii="Gill Sans MT" w:hAnsi="Gill Sans MT"/>
          <w:b/>
          <w:bCs/>
          <w:lang w:val="en-US"/>
        </w:rPr>
      </w:pPr>
      <w:r w:rsidRPr="002A2219">
        <w:rPr>
          <w:rFonts w:ascii="Gill Sans MT" w:hAnsi="Gill Sans MT"/>
          <w:b/>
          <w:bCs/>
          <w:lang w:val="en-US"/>
        </w:rPr>
        <w:t>Qualitative Disclosures</w:t>
      </w:r>
    </w:p>
    <w:p w14:paraId="751AAC07" w14:textId="77777777" w:rsidR="00F32F20" w:rsidRPr="00C721A3" w:rsidRDefault="00F32F20" w:rsidP="00F32F20">
      <w:pPr>
        <w:pStyle w:val="PlainText"/>
        <w:jc w:val="both"/>
        <w:rPr>
          <w:rFonts w:ascii="Gill Sans MT" w:hAnsi="Gill Sans MT"/>
          <w:sz w:val="22"/>
          <w:szCs w:val="22"/>
        </w:rPr>
      </w:pPr>
      <w:r w:rsidRPr="00C721A3">
        <w:rPr>
          <w:rFonts w:ascii="Gill Sans MT" w:hAnsi="Gill Sans MT"/>
          <w:sz w:val="22"/>
          <w:szCs w:val="22"/>
        </w:rPr>
        <w:t xml:space="preserve">The Firm has in place a Remuneration Policy which is approved by the Governing Body (the Board of Directors) at least annually. The Remuneration Policy’s overarching aim is the promotion of sound and effective risk management, whilst reducing conflicts of interests and encouraging good conduct amongst </w:t>
      </w:r>
      <w:r>
        <w:rPr>
          <w:rFonts w:ascii="Gill Sans MT" w:hAnsi="Gill Sans MT"/>
          <w:sz w:val="22"/>
          <w:szCs w:val="22"/>
        </w:rPr>
        <w:t>personnel</w:t>
      </w:r>
      <w:r w:rsidRPr="00C721A3">
        <w:rPr>
          <w:rFonts w:ascii="Gill Sans MT" w:hAnsi="Gill Sans MT"/>
          <w:sz w:val="22"/>
          <w:szCs w:val="22"/>
        </w:rPr>
        <w:t xml:space="preserve">. </w:t>
      </w:r>
    </w:p>
    <w:p w14:paraId="1B468E5E" w14:textId="77777777" w:rsidR="00F32F20" w:rsidRPr="00C721A3" w:rsidRDefault="00F32F20" w:rsidP="00F32F20">
      <w:pPr>
        <w:pStyle w:val="PlainText"/>
        <w:jc w:val="both"/>
        <w:rPr>
          <w:rFonts w:ascii="Gill Sans MT" w:hAnsi="Gill Sans MT"/>
          <w:sz w:val="22"/>
          <w:szCs w:val="22"/>
        </w:rPr>
      </w:pPr>
    </w:p>
    <w:p w14:paraId="7CD06F81" w14:textId="77777777" w:rsidR="00F32F20" w:rsidRPr="00C721A3" w:rsidRDefault="00F32F20" w:rsidP="00F32F20">
      <w:pPr>
        <w:pStyle w:val="PlainText"/>
        <w:jc w:val="both"/>
        <w:rPr>
          <w:rFonts w:ascii="Gill Sans MT" w:hAnsi="Gill Sans MT"/>
          <w:sz w:val="22"/>
          <w:szCs w:val="22"/>
        </w:rPr>
      </w:pPr>
      <w:r w:rsidRPr="00C721A3">
        <w:rPr>
          <w:rFonts w:ascii="Gill Sans MT" w:hAnsi="Gill Sans MT"/>
          <w:sz w:val="22"/>
          <w:szCs w:val="22"/>
        </w:rPr>
        <w:t xml:space="preserve">The purpose of the Remuneration Policy is to set out how the Firm will provide remuneration in a manner that is consistent with the relevant remuneration codes as outlined above, with the main objective of the financial incentives being to attract, motivate and maintain high-calibre </w:t>
      </w:r>
      <w:r>
        <w:rPr>
          <w:rFonts w:ascii="Gill Sans MT" w:hAnsi="Gill Sans MT"/>
          <w:sz w:val="22"/>
          <w:szCs w:val="22"/>
        </w:rPr>
        <w:t>personnel</w:t>
      </w:r>
      <w:r w:rsidRPr="00C721A3">
        <w:rPr>
          <w:rFonts w:ascii="Gill Sans MT" w:hAnsi="Gill Sans MT"/>
          <w:sz w:val="22"/>
          <w:szCs w:val="22"/>
        </w:rPr>
        <w:t xml:space="preserve">. </w:t>
      </w:r>
    </w:p>
    <w:p w14:paraId="6352B361" w14:textId="77777777" w:rsidR="00F32F20" w:rsidRPr="00C721A3" w:rsidRDefault="00F32F20" w:rsidP="00F32F20">
      <w:pPr>
        <w:pStyle w:val="PlainText"/>
        <w:jc w:val="both"/>
        <w:rPr>
          <w:rFonts w:ascii="Gill Sans MT" w:hAnsi="Gill Sans MT"/>
          <w:sz w:val="22"/>
          <w:szCs w:val="22"/>
        </w:rPr>
      </w:pPr>
    </w:p>
    <w:p w14:paraId="76B87277" w14:textId="77777777" w:rsidR="00F32F20" w:rsidRPr="00C721A3" w:rsidRDefault="00F32F20" w:rsidP="00F32F20">
      <w:pPr>
        <w:pStyle w:val="PlainText"/>
        <w:jc w:val="both"/>
        <w:rPr>
          <w:rFonts w:ascii="Gill Sans MT" w:hAnsi="Gill Sans MT"/>
          <w:sz w:val="22"/>
          <w:szCs w:val="22"/>
        </w:rPr>
      </w:pPr>
      <w:r w:rsidRPr="00C721A3">
        <w:rPr>
          <w:rFonts w:ascii="Gill Sans MT" w:hAnsi="Gill Sans MT"/>
          <w:sz w:val="22"/>
          <w:szCs w:val="22"/>
        </w:rPr>
        <w:t xml:space="preserve">The remuneration strategy has been designed to ensure consistency with the risk profiles, rules and instruments of incorporation of the funds managed, managed accounts, capital introduction accounts and with the objectives set out in the Firms’ business plan and to ensure no conflict of interest between </w:t>
      </w:r>
      <w:r>
        <w:rPr>
          <w:rFonts w:ascii="Gill Sans MT" w:hAnsi="Gill Sans MT"/>
          <w:sz w:val="22"/>
          <w:szCs w:val="22"/>
        </w:rPr>
        <w:t>personnel</w:t>
      </w:r>
      <w:r w:rsidRPr="00C721A3">
        <w:rPr>
          <w:rFonts w:ascii="Gill Sans MT" w:hAnsi="Gill Sans MT"/>
          <w:sz w:val="22"/>
          <w:szCs w:val="22"/>
        </w:rPr>
        <w:t xml:space="preserve"> and investors, and compliance with conduct of business rules.</w:t>
      </w:r>
    </w:p>
    <w:p w14:paraId="1D0C4475" w14:textId="77777777" w:rsidR="00F32F20" w:rsidRPr="00C721A3" w:rsidRDefault="00F32F20" w:rsidP="00F32F20">
      <w:pPr>
        <w:pStyle w:val="PlainText"/>
        <w:jc w:val="both"/>
        <w:rPr>
          <w:rFonts w:ascii="Gill Sans MT" w:hAnsi="Gill Sans MT"/>
          <w:sz w:val="22"/>
          <w:szCs w:val="22"/>
        </w:rPr>
      </w:pPr>
    </w:p>
    <w:p w14:paraId="7AAAEE7A" w14:textId="77777777" w:rsidR="00F32F20" w:rsidRDefault="00F32F20" w:rsidP="00F32F20">
      <w:pPr>
        <w:pStyle w:val="PlainText"/>
        <w:jc w:val="both"/>
        <w:rPr>
          <w:rFonts w:ascii="Gill Sans MT" w:hAnsi="Gill Sans MT"/>
          <w:sz w:val="22"/>
          <w:szCs w:val="22"/>
        </w:rPr>
      </w:pPr>
      <w:r w:rsidRPr="00C721A3">
        <w:rPr>
          <w:rFonts w:ascii="Gill Sans MT" w:hAnsi="Gill Sans MT"/>
          <w:sz w:val="22"/>
          <w:szCs w:val="22"/>
        </w:rPr>
        <w:t xml:space="preserve">As noted above, while the Firm is not required to identify Material Risk Takers as an SNI MIFIDPRU </w:t>
      </w:r>
      <w:r>
        <w:rPr>
          <w:rFonts w:ascii="Gill Sans MT" w:hAnsi="Gill Sans MT"/>
          <w:sz w:val="22"/>
          <w:szCs w:val="22"/>
        </w:rPr>
        <w:t>I</w:t>
      </w:r>
      <w:r w:rsidRPr="00C721A3">
        <w:rPr>
          <w:rFonts w:ascii="Gill Sans MT" w:hAnsi="Gill Sans MT"/>
          <w:sz w:val="22"/>
          <w:szCs w:val="22"/>
        </w:rPr>
        <w:t xml:space="preserve">nvestment </w:t>
      </w:r>
      <w:r>
        <w:rPr>
          <w:rFonts w:ascii="Gill Sans MT" w:hAnsi="Gill Sans MT"/>
          <w:sz w:val="22"/>
          <w:szCs w:val="22"/>
        </w:rPr>
        <w:t>F</w:t>
      </w:r>
      <w:r w:rsidRPr="00C721A3">
        <w:rPr>
          <w:rFonts w:ascii="Gill Sans MT" w:hAnsi="Gill Sans MT"/>
          <w:sz w:val="22"/>
          <w:szCs w:val="22"/>
        </w:rPr>
        <w:t xml:space="preserve">irm, it is required to do so under the AIFM Remuneration Code.  The Firm has identified its </w:t>
      </w:r>
      <w:r>
        <w:rPr>
          <w:rFonts w:ascii="Gill Sans MT" w:hAnsi="Gill Sans MT"/>
          <w:sz w:val="22"/>
          <w:szCs w:val="22"/>
        </w:rPr>
        <w:t xml:space="preserve">AIFMD </w:t>
      </w:r>
      <w:r w:rsidRPr="00C721A3">
        <w:rPr>
          <w:rFonts w:ascii="Gill Sans MT" w:hAnsi="Gill Sans MT"/>
          <w:sz w:val="22"/>
          <w:szCs w:val="22"/>
        </w:rPr>
        <w:t xml:space="preserve">Remuneration Code </w:t>
      </w:r>
      <w:r>
        <w:rPr>
          <w:rFonts w:ascii="Gill Sans MT" w:hAnsi="Gill Sans MT"/>
          <w:sz w:val="22"/>
          <w:szCs w:val="22"/>
        </w:rPr>
        <w:t>personnel</w:t>
      </w:r>
      <w:r w:rsidRPr="00C721A3">
        <w:rPr>
          <w:rFonts w:ascii="Gill Sans MT" w:hAnsi="Gill Sans MT"/>
          <w:sz w:val="22"/>
          <w:szCs w:val="22"/>
        </w:rPr>
        <w:t xml:space="preserve"> accordingly.    </w:t>
      </w:r>
    </w:p>
    <w:p w14:paraId="0A8BC472" w14:textId="77777777" w:rsidR="00F32F20" w:rsidRDefault="00F32F20" w:rsidP="00F32F20">
      <w:pPr>
        <w:pStyle w:val="PlainText"/>
        <w:jc w:val="both"/>
        <w:rPr>
          <w:rFonts w:ascii="Gill Sans MT" w:hAnsi="Gill Sans MT"/>
          <w:sz w:val="22"/>
          <w:szCs w:val="22"/>
        </w:rPr>
      </w:pPr>
    </w:p>
    <w:p w14:paraId="2EFC0249" w14:textId="77777777" w:rsidR="00F32F20" w:rsidRDefault="00F32F20" w:rsidP="00F32F20">
      <w:pPr>
        <w:pStyle w:val="PlainText"/>
        <w:jc w:val="both"/>
        <w:rPr>
          <w:rFonts w:ascii="Gill Sans MT" w:hAnsi="Gill Sans MT"/>
          <w:sz w:val="22"/>
          <w:szCs w:val="22"/>
          <w:lang w:val="en-US"/>
        </w:rPr>
      </w:pPr>
      <w:r>
        <w:rPr>
          <w:rFonts w:ascii="Gill Sans MT" w:hAnsi="Gill Sans MT"/>
          <w:sz w:val="22"/>
          <w:szCs w:val="22"/>
          <w:lang w:val="en-US"/>
        </w:rPr>
        <w:t>The Firm’s approach to remuneration for all personnel includes:</w:t>
      </w:r>
    </w:p>
    <w:p w14:paraId="14F07F31" w14:textId="77777777" w:rsidR="00F32F20" w:rsidRDefault="00F32F20" w:rsidP="00F32F20">
      <w:pPr>
        <w:pStyle w:val="PlainText"/>
        <w:jc w:val="both"/>
        <w:rPr>
          <w:rFonts w:ascii="Gill Sans MT" w:hAnsi="Gill Sans MT"/>
          <w:sz w:val="22"/>
          <w:szCs w:val="22"/>
          <w:lang w:val="en-US"/>
        </w:rPr>
      </w:pPr>
    </w:p>
    <w:p w14:paraId="694C3804" w14:textId="77777777" w:rsidR="00F32F20" w:rsidRPr="006123A7" w:rsidRDefault="00F32F20" w:rsidP="00F32F20">
      <w:pPr>
        <w:pStyle w:val="PlainText"/>
        <w:numPr>
          <w:ilvl w:val="0"/>
          <w:numId w:val="1"/>
        </w:numPr>
        <w:jc w:val="both"/>
        <w:rPr>
          <w:rFonts w:ascii="Gill Sans MT" w:hAnsi="Gill Sans MT"/>
          <w:sz w:val="22"/>
          <w:szCs w:val="22"/>
        </w:rPr>
      </w:pPr>
      <w:r>
        <w:rPr>
          <w:rFonts w:ascii="Gill Sans MT" w:hAnsi="Gill Sans MT"/>
          <w:sz w:val="22"/>
          <w:szCs w:val="22"/>
          <w:lang w:val="en-US"/>
        </w:rPr>
        <w:t>Signal Capital’s</w:t>
      </w:r>
      <w:r w:rsidRPr="006123A7">
        <w:rPr>
          <w:rFonts w:ascii="Gill Sans MT" w:hAnsi="Gill Sans MT"/>
          <w:sz w:val="22"/>
          <w:szCs w:val="22"/>
          <w:lang w:val="en-US"/>
        </w:rPr>
        <w:t xml:space="preserve"> regulatory capital and liquidity position and the maintenance of an appropriate surplus of capital and liquidity. </w:t>
      </w:r>
    </w:p>
    <w:p w14:paraId="2C0DDAA7" w14:textId="77777777" w:rsidR="00F32F20" w:rsidRPr="006123A7" w:rsidRDefault="00F32F20" w:rsidP="00F32F20">
      <w:pPr>
        <w:pStyle w:val="PlainText"/>
        <w:numPr>
          <w:ilvl w:val="0"/>
          <w:numId w:val="1"/>
        </w:numPr>
        <w:jc w:val="both"/>
        <w:rPr>
          <w:rFonts w:ascii="Gill Sans MT" w:hAnsi="Gill Sans MT"/>
          <w:sz w:val="22"/>
          <w:szCs w:val="22"/>
        </w:rPr>
      </w:pPr>
      <w:r w:rsidRPr="006123A7">
        <w:rPr>
          <w:rFonts w:ascii="Gill Sans MT" w:hAnsi="Gill Sans MT"/>
          <w:sz w:val="22"/>
          <w:szCs w:val="22"/>
          <w:lang w:val="en-US"/>
        </w:rPr>
        <w:t xml:space="preserve">The performance of individual </w:t>
      </w:r>
      <w:r>
        <w:rPr>
          <w:rFonts w:ascii="Gill Sans MT" w:hAnsi="Gill Sans MT"/>
          <w:sz w:val="22"/>
          <w:szCs w:val="22"/>
          <w:lang w:val="en-US"/>
        </w:rPr>
        <w:t>personnel</w:t>
      </w:r>
      <w:r w:rsidRPr="006123A7">
        <w:rPr>
          <w:rFonts w:ascii="Gill Sans MT" w:hAnsi="Gill Sans MT"/>
          <w:sz w:val="22"/>
          <w:szCs w:val="22"/>
          <w:lang w:val="en-US"/>
        </w:rPr>
        <w:t xml:space="preserve"> with respect to quantitative financial metrics. </w:t>
      </w:r>
    </w:p>
    <w:p w14:paraId="2A8A1368" w14:textId="77777777" w:rsidR="00F32F20" w:rsidRPr="006123A7" w:rsidRDefault="00F32F20" w:rsidP="00F32F20">
      <w:pPr>
        <w:pStyle w:val="PlainText"/>
        <w:numPr>
          <w:ilvl w:val="0"/>
          <w:numId w:val="1"/>
        </w:numPr>
        <w:jc w:val="both"/>
        <w:rPr>
          <w:rFonts w:ascii="Gill Sans MT" w:hAnsi="Gill Sans MT"/>
          <w:sz w:val="22"/>
          <w:szCs w:val="22"/>
        </w:rPr>
      </w:pPr>
      <w:r w:rsidRPr="006123A7">
        <w:rPr>
          <w:rFonts w:ascii="Gill Sans MT" w:hAnsi="Gill Sans MT"/>
          <w:sz w:val="22"/>
          <w:szCs w:val="22"/>
          <w:lang w:val="en-US"/>
        </w:rPr>
        <w:t xml:space="preserve">Assessment of the performance of personnel against non-financial metrics, such as good conduct. </w:t>
      </w:r>
    </w:p>
    <w:p w14:paraId="0E17555A" w14:textId="77777777" w:rsidR="00F32F20" w:rsidRPr="006123A7" w:rsidRDefault="00F32F20" w:rsidP="00F32F20">
      <w:pPr>
        <w:pStyle w:val="PlainText"/>
        <w:numPr>
          <w:ilvl w:val="0"/>
          <w:numId w:val="1"/>
        </w:numPr>
        <w:jc w:val="both"/>
        <w:rPr>
          <w:rFonts w:ascii="Gill Sans MT" w:hAnsi="Gill Sans MT"/>
          <w:sz w:val="22"/>
          <w:szCs w:val="22"/>
        </w:rPr>
      </w:pPr>
      <w:r w:rsidRPr="006123A7">
        <w:rPr>
          <w:rFonts w:ascii="Gill Sans MT" w:hAnsi="Gill Sans MT"/>
          <w:sz w:val="22"/>
          <w:szCs w:val="22"/>
          <w:lang w:val="en-US"/>
        </w:rPr>
        <w:t xml:space="preserve">The performance of the Firm. </w:t>
      </w:r>
    </w:p>
    <w:p w14:paraId="303205A2" w14:textId="77777777" w:rsidR="00F32F20" w:rsidRDefault="00F32F20" w:rsidP="00F32F20">
      <w:pPr>
        <w:pStyle w:val="PlainText"/>
        <w:rPr>
          <w:rFonts w:ascii="Gill Sans MT" w:hAnsi="Gill Sans MT"/>
          <w:sz w:val="22"/>
          <w:szCs w:val="22"/>
          <w:lang w:val="en-US"/>
        </w:rPr>
      </w:pPr>
    </w:p>
    <w:p w14:paraId="0A0EEA93" w14:textId="77777777" w:rsidR="00F32F20" w:rsidRDefault="00F32F20" w:rsidP="00F32F20">
      <w:pPr>
        <w:pStyle w:val="PlainText"/>
        <w:jc w:val="both"/>
        <w:rPr>
          <w:rFonts w:ascii="Gill Sans MT" w:hAnsi="Gill Sans MT"/>
          <w:sz w:val="22"/>
          <w:szCs w:val="22"/>
          <w:lang w:val="en-US"/>
        </w:rPr>
      </w:pPr>
      <w:r w:rsidRPr="006123A7">
        <w:rPr>
          <w:rFonts w:ascii="Gill Sans MT" w:hAnsi="Gill Sans MT"/>
          <w:sz w:val="22"/>
          <w:szCs w:val="22"/>
          <w:lang w:val="en-US"/>
        </w:rPr>
        <w:t>In line with the Equality Act 2010, the Firm have developed the following remuneration policies and practices to promote gender neutrality and eliminate any form of discrimination based on protected characteristics, including gender</w:t>
      </w:r>
      <w:r>
        <w:rPr>
          <w:rFonts w:ascii="Gill Sans MT" w:hAnsi="Gill Sans MT"/>
          <w:sz w:val="22"/>
          <w:szCs w:val="22"/>
          <w:lang w:val="en-US"/>
        </w:rPr>
        <w:t>:</w:t>
      </w:r>
    </w:p>
    <w:p w14:paraId="7949D141" w14:textId="77777777" w:rsidR="00F32F20" w:rsidRDefault="00F32F20" w:rsidP="00F32F20">
      <w:pPr>
        <w:pStyle w:val="PlainText"/>
        <w:rPr>
          <w:rFonts w:ascii="Gill Sans MT" w:hAnsi="Gill Sans MT"/>
          <w:sz w:val="22"/>
          <w:szCs w:val="22"/>
          <w:lang w:val="en-US"/>
        </w:rPr>
      </w:pPr>
    </w:p>
    <w:p w14:paraId="1FEDB23C" w14:textId="77777777" w:rsidR="00F32F20" w:rsidRPr="002C0539" w:rsidRDefault="00F32F20" w:rsidP="00F32F20">
      <w:pPr>
        <w:pStyle w:val="PlainText"/>
        <w:numPr>
          <w:ilvl w:val="0"/>
          <w:numId w:val="2"/>
        </w:numPr>
        <w:jc w:val="both"/>
        <w:rPr>
          <w:rFonts w:ascii="Gill Sans MT" w:hAnsi="Gill Sans MT"/>
          <w:b/>
          <w:bCs/>
          <w:sz w:val="22"/>
          <w:szCs w:val="22"/>
        </w:rPr>
      </w:pPr>
      <w:r w:rsidRPr="002C0539">
        <w:rPr>
          <w:rFonts w:ascii="Gill Sans MT" w:hAnsi="Gill Sans MT"/>
          <w:b/>
          <w:bCs/>
          <w:sz w:val="22"/>
          <w:szCs w:val="22"/>
          <w:lang w:val="en-US"/>
        </w:rPr>
        <w:t>Pay Equity</w:t>
      </w:r>
    </w:p>
    <w:p w14:paraId="7CDB78F1" w14:textId="77777777" w:rsidR="00F32F20" w:rsidRPr="00004533" w:rsidRDefault="00F32F20" w:rsidP="00F32F20">
      <w:pPr>
        <w:pStyle w:val="PlainText"/>
        <w:numPr>
          <w:ilvl w:val="0"/>
          <w:numId w:val="3"/>
        </w:numPr>
        <w:jc w:val="both"/>
        <w:rPr>
          <w:rFonts w:ascii="Gill Sans MT" w:hAnsi="Gill Sans MT"/>
          <w:sz w:val="22"/>
          <w:szCs w:val="22"/>
        </w:rPr>
      </w:pPr>
      <w:r w:rsidRPr="00004533">
        <w:rPr>
          <w:rFonts w:ascii="Gill Sans MT" w:hAnsi="Gill Sans MT"/>
          <w:sz w:val="22"/>
          <w:szCs w:val="22"/>
          <w:lang w:val="en-US"/>
        </w:rPr>
        <w:t>Objective Evaluation: Compensation decisions are based on objective criteria such as job responsibilities, skills, qualifications, experience, and performance, irrespective of an individual's gender or any other protected characteristic.</w:t>
      </w:r>
    </w:p>
    <w:p w14:paraId="0ABBAAE4" w14:textId="77777777" w:rsidR="00F32F20" w:rsidRPr="00004533" w:rsidRDefault="00F32F20" w:rsidP="00F32F20">
      <w:pPr>
        <w:pStyle w:val="PlainText"/>
        <w:numPr>
          <w:ilvl w:val="0"/>
          <w:numId w:val="3"/>
        </w:numPr>
        <w:jc w:val="both"/>
        <w:rPr>
          <w:rFonts w:ascii="Gill Sans MT" w:hAnsi="Gill Sans MT"/>
          <w:sz w:val="22"/>
          <w:szCs w:val="22"/>
        </w:rPr>
      </w:pPr>
      <w:r w:rsidRPr="00004533">
        <w:rPr>
          <w:rFonts w:ascii="Gill Sans MT" w:hAnsi="Gill Sans MT"/>
          <w:sz w:val="22"/>
          <w:szCs w:val="22"/>
          <w:lang w:val="en-US"/>
        </w:rPr>
        <w:t>Salary Evaluation: Salaries are established for each job role, considering factors that are relevant to the position, ensuring consistency and fairness in pay structures.</w:t>
      </w:r>
    </w:p>
    <w:p w14:paraId="5C97B1B0" w14:textId="77777777" w:rsidR="00F32F20" w:rsidRPr="00004533" w:rsidRDefault="00F32F20" w:rsidP="00F32F20">
      <w:pPr>
        <w:pStyle w:val="PlainText"/>
        <w:numPr>
          <w:ilvl w:val="0"/>
          <w:numId w:val="3"/>
        </w:numPr>
        <w:jc w:val="both"/>
        <w:rPr>
          <w:rFonts w:ascii="Gill Sans MT" w:hAnsi="Gill Sans MT"/>
          <w:sz w:val="22"/>
          <w:szCs w:val="22"/>
        </w:rPr>
      </w:pPr>
      <w:r w:rsidRPr="00004533">
        <w:rPr>
          <w:rFonts w:ascii="Gill Sans MT" w:hAnsi="Gill Sans MT"/>
          <w:sz w:val="22"/>
          <w:szCs w:val="22"/>
          <w:lang w:val="en-US"/>
        </w:rPr>
        <w:t>Market Research: Market research is conducted to compare our compensation levels with industry standards to ensure that our pay remains competitive, equitable, and unbiased.</w:t>
      </w:r>
    </w:p>
    <w:p w14:paraId="42888401" w14:textId="77777777" w:rsidR="00F32F20" w:rsidRPr="00004533" w:rsidRDefault="00F32F20" w:rsidP="00F32F20">
      <w:pPr>
        <w:pStyle w:val="PlainText"/>
        <w:numPr>
          <w:ilvl w:val="0"/>
          <w:numId w:val="3"/>
        </w:numPr>
        <w:jc w:val="both"/>
        <w:rPr>
          <w:rFonts w:ascii="Gill Sans MT" w:hAnsi="Gill Sans MT"/>
          <w:sz w:val="22"/>
          <w:szCs w:val="22"/>
        </w:rPr>
      </w:pPr>
      <w:r w:rsidRPr="00004533">
        <w:rPr>
          <w:rFonts w:ascii="Gill Sans MT" w:hAnsi="Gill Sans MT"/>
          <w:sz w:val="22"/>
          <w:szCs w:val="22"/>
          <w:lang w:val="en-US"/>
        </w:rPr>
        <w:t>Job Descriptions: Job descriptions are established for each position, outlining the required skills, responsibilities, and qualifications. This ensures clarity and transparency in determining compensation.</w:t>
      </w:r>
    </w:p>
    <w:p w14:paraId="0A3CF6C1" w14:textId="77777777" w:rsidR="00F32F20" w:rsidRDefault="00F32F20" w:rsidP="00F32F20">
      <w:pPr>
        <w:pStyle w:val="PlainText"/>
        <w:jc w:val="both"/>
        <w:rPr>
          <w:rFonts w:ascii="Gill Sans MT" w:hAnsi="Gill Sans MT"/>
          <w:sz w:val="22"/>
          <w:szCs w:val="22"/>
          <w:lang w:val="en-US"/>
        </w:rPr>
      </w:pPr>
    </w:p>
    <w:p w14:paraId="5FD2FC2A" w14:textId="77777777" w:rsidR="00F32F20" w:rsidRPr="002C0539" w:rsidRDefault="00F32F20" w:rsidP="00F32F20">
      <w:pPr>
        <w:pStyle w:val="PlainText"/>
        <w:numPr>
          <w:ilvl w:val="0"/>
          <w:numId w:val="2"/>
        </w:numPr>
        <w:jc w:val="both"/>
        <w:rPr>
          <w:rFonts w:ascii="Gill Sans MT" w:hAnsi="Gill Sans MT"/>
          <w:b/>
          <w:bCs/>
          <w:sz w:val="22"/>
          <w:szCs w:val="22"/>
        </w:rPr>
      </w:pPr>
      <w:r w:rsidRPr="002C0539">
        <w:rPr>
          <w:rFonts w:ascii="Gill Sans MT" w:hAnsi="Gill Sans MT"/>
          <w:b/>
          <w:bCs/>
          <w:sz w:val="22"/>
          <w:szCs w:val="22"/>
          <w:lang w:val="en-US"/>
        </w:rPr>
        <w:t>Performance Based Pay:</w:t>
      </w:r>
    </w:p>
    <w:p w14:paraId="3C20BDFC" w14:textId="77777777" w:rsidR="00F32F20" w:rsidRPr="00004533" w:rsidRDefault="00F32F20" w:rsidP="00F32F20">
      <w:pPr>
        <w:pStyle w:val="PlainText"/>
        <w:numPr>
          <w:ilvl w:val="0"/>
          <w:numId w:val="4"/>
        </w:numPr>
        <w:jc w:val="both"/>
        <w:rPr>
          <w:rFonts w:ascii="Gill Sans MT" w:hAnsi="Gill Sans MT"/>
          <w:sz w:val="22"/>
          <w:szCs w:val="22"/>
        </w:rPr>
      </w:pPr>
      <w:r w:rsidRPr="00004533">
        <w:rPr>
          <w:rFonts w:ascii="Gill Sans MT" w:hAnsi="Gill Sans MT"/>
          <w:sz w:val="22"/>
          <w:szCs w:val="22"/>
          <w:lang w:val="en-US"/>
        </w:rPr>
        <w:t xml:space="preserve">Objective Performance Evaluation: Performance assessments are conducted that are directly related to job responsibilities and individual contributions. Evaluations are conducted consistently and objectively, free from bias or discrimination. </w:t>
      </w:r>
    </w:p>
    <w:p w14:paraId="4F254782" w14:textId="77777777" w:rsidR="00F32F20" w:rsidRPr="00004533" w:rsidRDefault="00F32F20" w:rsidP="00F32F20">
      <w:pPr>
        <w:pStyle w:val="PlainText"/>
        <w:numPr>
          <w:ilvl w:val="0"/>
          <w:numId w:val="4"/>
        </w:numPr>
        <w:jc w:val="both"/>
        <w:rPr>
          <w:rFonts w:ascii="Gill Sans MT" w:hAnsi="Gill Sans MT"/>
          <w:sz w:val="22"/>
          <w:szCs w:val="22"/>
        </w:rPr>
      </w:pPr>
      <w:r w:rsidRPr="00004533">
        <w:rPr>
          <w:rFonts w:ascii="Gill Sans MT" w:hAnsi="Gill Sans MT"/>
          <w:sz w:val="22"/>
          <w:szCs w:val="22"/>
          <w:lang w:val="en-US"/>
        </w:rPr>
        <w:t xml:space="preserve">Merit-Based Increases: Salary increases and bonuses are tied to individual performance, </w:t>
      </w:r>
      <w:proofErr w:type="spellStart"/>
      <w:r w:rsidRPr="00004533">
        <w:rPr>
          <w:rFonts w:ascii="Gill Sans MT" w:hAnsi="Gill Sans MT"/>
          <w:sz w:val="22"/>
          <w:szCs w:val="22"/>
          <w:lang w:val="en-US"/>
        </w:rPr>
        <w:t>recognising</w:t>
      </w:r>
      <w:proofErr w:type="spellEnd"/>
      <w:r w:rsidRPr="00004533">
        <w:rPr>
          <w:rFonts w:ascii="Gill Sans MT" w:hAnsi="Gill Sans MT"/>
          <w:sz w:val="22"/>
          <w:szCs w:val="22"/>
          <w:lang w:val="en-US"/>
        </w:rPr>
        <w:t xml:space="preserve">, and rewarding </w:t>
      </w:r>
      <w:r>
        <w:rPr>
          <w:rFonts w:ascii="Gill Sans MT" w:hAnsi="Gill Sans MT"/>
          <w:sz w:val="22"/>
          <w:szCs w:val="22"/>
          <w:lang w:val="en-US"/>
        </w:rPr>
        <w:t>personnel</w:t>
      </w:r>
      <w:r w:rsidRPr="00004533">
        <w:rPr>
          <w:rFonts w:ascii="Gill Sans MT" w:hAnsi="Gill Sans MT"/>
          <w:sz w:val="22"/>
          <w:szCs w:val="22"/>
          <w:lang w:val="en-US"/>
        </w:rPr>
        <w:t xml:space="preserve"> based on their contributions and achievements, regardless of their gender.</w:t>
      </w:r>
    </w:p>
    <w:p w14:paraId="643533B2" w14:textId="77777777" w:rsidR="00F32F20" w:rsidRDefault="00F32F20" w:rsidP="00F32F20">
      <w:pPr>
        <w:pStyle w:val="PlainText"/>
        <w:jc w:val="both"/>
        <w:rPr>
          <w:rFonts w:ascii="Gill Sans MT" w:hAnsi="Gill Sans MT"/>
          <w:sz w:val="22"/>
          <w:szCs w:val="22"/>
          <w:lang w:val="en-US"/>
        </w:rPr>
      </w:pPr>
    </w:p>
    <w:p w14:paraId="680D1BF6" w14:textId="77777777" w:rsidR="00F32F20" w:rsidRPr="002C0539" w:rsidRDefault="00F32F20" w:rsidP="00F32F20">
      <w:pPr>
        <w:pStyle w:val="PlainText"/>
        <w:numPr>
          <w:ilvl w:val="0"/>
          <w:numId w:val="2"/>
        </w:numPr>
        <w:jc w:val="both"/>
        <w:rPr>
          <w:rFonts w:ascii="Gill Sans MT" w:hAnsi="Gill Sans MT"/>
          <w:b/>
          <w:bCs/>
          <w:sz w:val="22"/>
          <w:szCs w:val="22"/>
        </w:rPr>
      </w:pPr>
      <w:r w:rsidRPr="002C0539">
        <w:rPr>
          <w:rFonts w:ascii="Gill Sans MT" w:hAnsi="Gill Sans MT"/>
          <w:b/>
          <w:bCs/>
          <w:sz w:val="22"/>
          <w:szCs w:val="22"/>
          <w:lang w:val="en-US"/>
        </w:rPr>
        <w:t>Career Development and Advancement:</w:t>
      </w:r>
    </w:p>
    <w:p w14:paraId="5B4D9A3B" w14:textId="5A8321B2" w:rsidR="00F32F20" w:rsidRPr="00F32F20" w:rsidRDefault="00F32F20" w:rsidP="00F32F20">
      <w:pPr>
        <w:pStyle w:val="PlainText"/>
        <w:numPr>
          <w:ilvl w:val="0"/>
          <w:numId w:val="6"/>
        </w:numPr>
        <w:jc w:val="both"/>
        <w:rPr>
          <w:rFonts w:ascii="Gill Sans MT" w:hAnsi="Gill Sans MT"/>
          <w:sz w:val="22"/>
          <w:szCs w:val="22"/>
        </w:rPr>
      </w:pPr>
      <w:r w:rsidRPr="00004533">
        <w:rPr>
          <w:rFonts w:ascii="Gill Sans MT" w:hAnsi="Gill Sans MT"/>
          <w:sz w:val="22"/>
          <w:szCs w:val="22"/>
          <w:lang w:val="en-US"/>
        </w:rPr>
        <w:t xml:space="preserve">Equal Opportunities: </w:t>
      </w:r>
      <w:r>
        <w:rPr>
          <w:rFonts w:ascii="Gill Sans MT" w:hAnsi="Gill Sans MT"/>
          <w:sz w:val="22"/>
          <w:szCs w:val="22"/>
          <w:lang w:val="en-US"/>
        </w:rPr>
        <w:t>Signal Capital</w:t>
      </w:r>
      <w:r w:rsidRPr="00004533">
        <w:rPr>
          <w:rFonts w:ascii="Gill Sans MT" w:hAnsi="Gill Sans MT"/>
          <w:sz w:val="22"/>
          <w:szCs w:val="22"/>
          <w:lang w:val="en-US"/>
        </w:rPr>
        <w:t xml:space="preserve"> provides equal opportunities for career development and advancement to all </w:t>
      </w:r>
      <w:r>
        <w:rPr>
          <w:rFonts w:ascii="Gill Sans MT" w:hAnsi="Gill Sans MT"/>
          <w:sz w:val="22"/>
          <w:szCs w:val="22"/>
          <w:lang w:val="en-US"/>
        </w:rPr>
        <w:t>personnel</w:t>
      </w:r>
      <w:r w:rsidRPr="00004533">
        <w:rPr>
          <w:rFonts w:ascii="Gill Sans MT" w:hAnsi="Gill Sans MT"/>
          <w:sz w:val="22"/>
          <w:szCs w:val="22"/>
          <w:lang w:val="en-US"/>
        </w:rPr>
        <w:t xml:space="preserve">, irrespective of gender or any other protected characteristic. </w:t>
      </w:r>
      <w:r>
        <w:rPr>
          <w:rFonts w:ascii="Gill Sans MT" w:hAnsi="Gill Sans MT"/>
          <w:sz w:val="22"/>
          <w:szCs w:val="22"/>
          <w:lang w:val="en-US"/>
        </w:rPr>
        <w:t>Internal p</w:t>
      </w:r>
      <w:r w:rsidRPr="00004533">
        <w:rPr>
          <w:rFonts w:ascii="Gill Sans MT" w:hAnsi="Gill Sans MT"/>
          <w:sz w:val="22"/>
          <w:szCs w:val="22"/>
          <w:lang w:val="en-US"/>
        </w:rPr>
        <w:t>romotion decisions are based on merit, skills, qualifications, and performance.</w:t>
      </w:r>
    </w:p>
    <w:p w14:paraId="5597DEB3" w14:textId="77777777" w:rsidR="00F32F20" w:rsidRPr="00F32F20" w:rsidRDefault="00F32F20" w:rsidP="00F32F20">
      <w:pPr>
        <w:pStyle w:val="PlainText"/>
        <w:ind w:left="1440"/>
        <w:jc w:val="both"/>
        <w:rPr>
          <w:rFonts w:ascii="Gill Sans MT" w:hAnsi="Gill Sans MT"/>
          <w:sz w:val="22"/>
          <w:szCs w:val="22"/>
        </w:rPr>
      </w:pPr>
    </w:p>
    <w:p w14:paraId="4B22A260" w14:textId="77777777" w:rsidR="00F32F20" w:rsidRPr="002C0539" w:rsidRDefault="00F32F20" w:rsidP="00F32F20">
      <w:pPr>
        <w:pStyle w:val="ListParagraph"/>
        <w:keepNext/>
        <w:numPr>
          <w:ilvl w:val="0"/>
          <w:numId w:val="2"/>
        </w:numPr>
        <w:spacing w:after="120"/>
        <w:jc w:val="both"/>
        <w:rPr>
          <w:rFonts w:ascii="Gill Sans MT" w:hAnsi="Gill Sans MT"/>
          <w:b/>
          <w:bCs/>
          <w:sz w:val="22"/>
          <w:szCs w:val="22"/>
          <w:lang w:val="en-US"/>
        </w:rPr>
      </w:pPr>
      <w:r w:rsidRPr="002C0539">
        <w:rPr>
          <w:rFonts w:ascii="Gill Sans MT" w:hAnsi="Gill Sans MT"/>
          <w:b/>
          <w:bCs/>
          <w:sz w:val="22"/>
          <w:szCs w:val="22"/>
          <w:lang w:val="en-US"/>
        </w:rPr>
        <w:t>Transparent Communication:</w:t>
      </w:r>
    </w:p>
    <w:p w14:paraId="6A7E7625" w14:textId="24DBC6D4" w:rsidR="00F32F20" w:rsidRDefault="00F32F20" w:rsidP="00F32F20">
      <w:pPr>
        <w:pStyle w:val="ListParagraph"/>
        <w:keepNext/>
        <w:numPr>
          <w:ilvl w:val="0"/>
          <w:numId w:val="5"/>
        </w:numPr>
        <w:jc w:val="both"/>
        <w:rPr>
          <w:rFonts w:ascii="Gill Sans MT" w:hAnsi="Gill Sans MT"/>
          <w:sz w:val="22"/>
          <w:szCs w:val="22"/>
          <w:lang w:val="en-US"/>
        </w:rPr>
      </w:pPr>
      <w:r w:rsidRPr="00004533">
        <w:rPr>
          <w:rFonts w:ascii="Gill Sans MT" w:hAnsi="Gill Sans MT"/>
          <w:sz w:val="22"/>
          <w:szCs w:val="22"/>
          <w:lang w:val="en-US"/>
        </w:rPr>
        <w:t xml:space="preserve">Policy Awareness: </w:t>
      </w:r>
      <w:r>
        <w:rPr>
          <w:rFonts w:ascii="Gill Sans MT" w:hAnsi="Gill Sans MT"/>
          <w:sz w:val="22"/>
          <w:szCs w:val="22"/>
          <w:lang w:val="en-US"/>
        </w:rPr>
        <w:t>Signal Capital</w:t>
      </w:r>
      <w:r w:rsidRPr="00004533">
        <w:rPr>
          <w:rFonts w:ascii="Gill Sans MT" w:hAnsi="Gill Sans MT"/>
          <w:sz w:val="22"/>
          <w:szCs w:val="22"/>
          <w:lang w:val="en-US"/>
        </w:rPr>
        <w:t xml:space="preserve"> ensures that all </w:t>
      </w:r>
      <w:r>
        <w:rPr>
          <w:rFonts w:ascii="Gill Sans MT" w:hAnsi="Gill Sans MT"/>
          <w:sz w:val="22"/>
          <w:szCs w:val="22"/>
          <w:lang w:val="en-US"/>
        </w:rPr>
        <w:t>personnel</w:t>
      </w:r>
      <w:r w:rsidRPr="00004533">
        <w:rPr>
          <w:rFonts w:ascii="Gill Sans MT" w:hAnsi="Gill Sans MT"/>
          <w:sz w:val="22"/>
          <w:szCs w:val="22"/>
          <w:lang w:val="en-US"/>
        </w:rPr>
        <w:t xml:space="preserve"> are aware of our remuneration policies, practices, and their rights to a fair and non-discriminatory workplace. This information is communicated clearly through our Remuneration Policy, Compliance Manual, </w:t>
      </w:r>
      <w:r>
        <w:rPr>
          <w:rFonts w:ascii="Gill Sans MT" w:hAnsi="Gill Sans MT"/>
          <w:sz w:val="22"/>
          <w:szCs w:val="22"/>
          <w:lang w:val="en-US"/>
        </w:rPr>
        <w:t xml:space="preserve">Personnel Manual, </w:t>
      </w:r>
      <w:r w:rsidRPr="00004533">
        <w:rPr>
          <w:rFonts w:ascii="Gill Sans MT" w:hAnsi="Gill Sans MT"/>
          <w:sz w:val="22"/>
          <w:szCs w:val="22"/>
          <w:lang w:val="en-US"/>
        </w:rPr>
        <w:t xml:space="preserve">periodic training and periodic </w:t>
      </w:r>
      <w:r>
        <w:rPr>
          <w:rFonts w:ascii="Gill Sans MT" w:hAnsi="Gill Sans MT"/>
          <w:sz w:val="22"/>
          <w:szCs w:val="22"/>
          <w:lang w:val="en-US"/>
        </w:rPr>
        <w:t>personnel</w:t>
      </w:r>
      <w:r w:rsidRPr="00004533">
        <w:rPr>
          <w:rFonts w:ascii="Gill Sans MT" w:hAnsi="Gill Sans MT"/>
          <w:sz w:val="22"/>
          <w:szCs w:val="22"/>
          <w:lang w:val="en-US"/>
        </w:rPr>
        <w:t xml:space="preserve"> attestations.</w:t>
      </w:r>
    </w:p>
    <w:p w14:paraId="015D8FBB" w14:textId="77777777" w:rsidR="004B22F3" w:rsidRPr="004B22F3" w:rsidRDefault="004B22F3" w:rsidP="004B22F3">
      <w:pPr>
        <w:pStyle w:val="ListParagraph"/>
        <w:keepNext/>
        <w:ind w:left="1440"/>
        <w:jc w:val="both"/>
        <w:rPr>
          <w:rFonts w:ascii="Gill Sans MT" w:hAnsi="Gill Sans MT"/>
          <w:sz w:val="22"/>
          <w:szCs w:val="22"/>
          <w:lang w:val="en-US"/>
        </w:rPr>
      </w:pPr>
    </w:p>
    <w:p w14:paraId="3382AC6B" w14:textId="3E475138" w:rsidR="00F32F20" w:rsidRDefault="00F32F20" w:rsidP="00F32F20">
      <w:pPr>
        <w:keepNext/>
        <w:jc w:val="both"/>
        <w:rPr>
          <w:rFonts w:ascii="Gill Sans MT" w:hAnsi="Gill Sans MT"/>
          <w:lang w:val="en-US"/>
        </w:rPr>
      </w:pPr>
      <w:r>
        <w:rPr>
          <w:rFonts w:ascii="Gill Sans MT" w:hAnsi="Gill Sans MT"/>
          <w:lang w:val="en-US"/>
        </w:rPr>
        <w:t>Signal Capital</w:t>
      </w:r>
      <w:r w:rsidRPr="00347B43">
        <w:rPr>
          <w:rFonts w:ascii="Gill Sans MT" w:hAnsi="Gill Sans MT"/>
          <w:lang w:val="en-US"/>
        </w:rPr>
        <w:t xml:space="preserve"> are dedicated to upholding the principles of equality and non-discrimination in our remuneration policies and practices.</w:t>
      </w:r>
    </w:p>
    <w:p w14:paraId="7D42D839" w14:textId="5103A32A" w:rsidR="00F32F20" w:rsidRPr="00A86353" w:rsidRDefault="00F32F20" w:rsidP="00F32F20">
      <w:pPr>
        <w:keepNext/>
        <w:jc w:val="both"/>
        <w:rPr>
          <w:rFonts w:ascii="Gill Sans MT" w:hAnsi="Gill Sans MT"/>
          <w:b/>
          <w:bCs/>
          <w:lang w:val="en-US"/>
        </w:rPr>
      </w:pPr>
      <w:r w:rsidRPr="00A86353">
        <w:rPr>
          <w:rFonts w:ascii="Gill Sans MT" w:hAnsi="Gill Sans MT"/>
          <w:b/>
          <w:bCs/>
          <w:lang w:val="en-US"/>
        </w:rPr>
        <w:t>Quantitative Disclosures</w:t>
      </w:r>
    </w:p>
    <w:p w14:paraId="0191BDE1" w14:textId="33D3C5D3" w:rsidR="00F32F20" w:rsidRDefault="00F32F20" w:rsidP="00F32F20">
      <w:pPr>
        <w:keepNext/>
        <w:jc w:val="both"/>
        <w:rPr>
          <w:rFonts w:ascii="Gill Sans MT" w:hAnsi="Gill Sans MT"/>
          <w:lang w:val="en-US"/>
        </w:rPr>
      </w:pPr>
      <w:r>
        <w:rPr>
          <w:rFonts w:ascii="Gill Sans MT" w:hAnsi="Gill Sans MT"/>
          <w:lang w:val="en-US"/>
        </w:rPr>
        <w:t>The</w:t>
      </w:r>
      <w:r w:rsidRPr="00C721A3">
        <w:rPr>
          <w:rFonts w:ascii="Gill Sans MT" w:hAnsi="Gill Sans MT"/>
          <w:lang w:val="en-US"/>
        </w:rPr>
        <w:t xml:space="preserve"> total</w:t>
      </w:r>
      <w:r>
        <w:rPr>
          <w:rFonts w:ascii="Gill Sans MT" w:hAnsi="Gill Sans MT"/>
          <w:lang w:val="en-US"/>
        </w:rPr>
        <w:t xml:space="preserve"> </w:t>
      </w:r>
      <w:r w:rsidRPr="00C721A3">
        <w:rPr>
          <w:rFonts w:ascii="Gill Sans MT" w:hAnsi="Gill Sans MT"/>
          <w:lang w:val="en-US"/>
        </w:rPr>
        <w:t xml:space="preserve">remuneration paid to </w:t>
      </w:r>
      <w:r>
        <w:rPr>
          <w:rFonts w:ascii="Gill Sans MT" w:hAnsi="Gill Sans MT"/>
          <w:lang w:val="en-US"/>
        </w:rPr>
        <w:t>personnel</w:t>
      </w:r>
      <w:r w:rsidRPr="00C721A3">
        <w:rPr>
          <w:rFonts w:ascii="Gill Sans MT" w:hAnsi="Gill Sans MT"/>
          <w:lang w:val="en-US"/>
        </w:rPr>
        <w:t xml:space="preserve"> as required under MIFIDPRU 8.6.8R (4) can be found below.  </w:t>
      </w:r>
    </w:p>
    <w:p w14:paraId="33FB887A" w14:textId="5E58F496" w:rsidR="00F32F20" w:rsidRDefault="00F32F20" w:rsidP="00F32F20">
      <w:pPr>
        <w:keepNext/>
        <w:jc w:val="both"/>
        <w:rPr>
          <w:rFonts w:ascii="Gill Sans MT" w:hAnsi="Gill Sans MT"/>
          <w:lang w:val="en-US"/>
        </w:rPr>
      </w:pPr>
      <w:r w:rsidRPr="00C721A3">
        <w:rPr>
          <w:rFonts w:ascii="Gill Sans MT" w:hAnsi="Gill Sans MT"/>
          <w:lang w:val="en-US"/>
        </w:rPr>
        <w:t xml:space="preserve">The variable remuneration reflects such remuneration paid with respect to performance over the financial year (even if paid following the end of the year).  </w:t>
      </w:r>
    </w:p>
    <w:tbl>
      <w:tblPr>
        <w:tblStyle w:val="TableGrid"/>
        <w:tblW w:w="0" w:type="auto"/>
        <w:tblInd w:w="1" w:type="dxa"/>
        <w:tblLook w:val="04A0" w:firstRow="1" w:lastRow="0" w:firstColumn="1" w:lastColumn="0" w:noHBand="0" w:noVBand="1"/>
      </w:tblPr>
      <w:tblGrid>
        <w:gridCol w:w="2712"/>
        <w:gridCol w:w="2712"/>
        <w:gridCol w:w="2712"/>
      </w:tblGrid>
      <w:tr w:rsidR="00F32F20" w14:paraId="268AEB03" w14:textId="77777777" w:rsidTr="00912FCD">
        <w:trPr>
          <w:trHeight w:val="377"/>
        </w:trPr>
        <w:tc>
          <w:tcPr>
            <w:tcW w:w="2712" w:type="dxa"/>
            <w:shd w:val="clear" w:color="auto" w:fill="D9D9D9" w:themeFill="background1" w:themeFillShade="D9"/>
          </w:tcPr>
          <w:p w14:paraId="53AF7A20" w14:textId="77777777" w:rsidR="00F32F20" w:rsidRPr="00A86353" w:rsidRDefault="00F32F20" w:rsidP="00912FCD">
            <w:pPr>
              <w:keepNext/>
              <w:spacing w:after="120"/>
              <w:jc w:val="both"/>
              <w:rPr>
                <w:rFonts w:ascii="Gill Sans MT" w:hAnsi="Gill Sans MT"/>
                <w:b/>
                <w:bCs/>
                <w:lang w:val="en-US"/>
              </w:rPr>
            </w:pPr>
            <w:r>
              <w:rPr>
                <w:rFonts w:ascii="Gill Sans MT" w:hAnsi="Gill Sans MT"/>
                <w:b/>
                <w:bCs/>
                <w:lang w:val="en-US"/>
              </w:rPr>
              <w:t xml:space="preserve">Fixed </w:t>
            </w:r>
            <w:r w:rsidRPr="00A86353">
              <w:rPr>
                <w:rFonts w:ascii="Gill Sans MT" w:hAnsi="Gill Sans MT"/>
                <w:b/>
                <w:bCs/>
                <w:lang w:val="en-US"/>
              </w:rPr>
              <w:t>Remuneration</w:t>
            </w:r>
          </w:p>
        </w:tc>
        <w:tc>
          <w:tcPr>
            <w:tcW w:w="2712" w:type="dxa"/>
            <w:shd w:val="clear" w:color="auto" w:fill="D9D9D9" w:themeFill="background1" w:themeFillShade="D9"/>
          </w:tcPr>
          <w:p w14:paraId="0DECF43F" w14:textId="77777777" w:rsidR="00F32F20" w:rsidRPr="00A86353" w:rsidRDefault="00F32F20" w:rsidP="00912FCD">
            <w:pPr>
              <w:keepNext/>
              <w:spacing w:after="120"/>
              <w:jc w:val="both"/>
              <w:rPr>
                <w:rFonts w:ascii="Gill Sans MT" w:hAnsi="Gill Sans MT"/>
                <w:b/>
                <w:bCs/>
                <w:lang w:val="en-US"/>
              </w:rPr>
            </w:pPr>
            <w:r>
              <w:rPr>
                <w:rFonts w:ascii="Gill Sans MT" w:hAnsi="Gill Sans MT"/>
                <w:b/>
                <w:bCs/>
                <w:lang w:val="en-US"/>
              </w:rPr>
              <w:t xml:space="preserve">Variable </w:t>
            </w:r>
            <w:r w:rsidRPr="00A86353">
              <w:rPr>
                <w:rFonts w:ascii="Gill Sans MT" w:hAnsi="Gill Sans MT"/>
                <w:b/>
                <w:bCs/>
                <w:lang w:val="en-US"/>
              </w:rPr>
              <w:t>Remuneration</w:t>
            </w:r>
          </w:p>
        </w:tc>
        <w:tc>
          <w:tcPr>
            <w:tcW w:w="2712" w:type="dxa"/>
            <w:shd w:val="clear" w:color="auto" w:fill="D9D9D9" w:themeFill="background1" w:themeFillShade="D9"/>
          </w:tcPr>
          <w:p w14:paraId="5662C776" w14:textId="77777777" w:rsidR="00F32F20" w:rsidRPr="00A86353" w:rsidRDefault="00F32F20" w:rsidP="00912FCD">
            <w:pPr>
              <w:keepNext/>
              <w:spacing w:after="120"/>
              <w:jc w:val="both"/>
              <w:rPr>
                <w:rFonts w:ascii="Gill Sans MT" w:hAnsi="Gill Sans MT"/>
                <w:b/>
                <w:bCs/>
                <w:lang w:val="en-US"/>
              </w:rPr>
            </w:pPr>
            <w:r>
              <w:rPr>
                <w:rFonts w:ascii="Gill Sans MT" w:hAnsi="Gill Sans MT"/>
                <w:b/>
                <w:bCs/>
                <w:lang w:val="en-US"/>
              </w:rPr>
              <w:t>Total</w:t>
            </w:r>
            <w:r w:rsidRPr="00A86353">
              <w:rPr>
                <w:rFonts w:ascii="Gill Sans MT" w:hAnsi="Gill Sans MT"/>
                <w:b/>
                <w:bCs/>
                <w:lang w:val="en-US"/>
              </w:rPr>
              <w:t xml:space="preserve"> Remuneration</w:t>
            </w:r>
          </w:p>
        </w:tc>
      </w:tr>
      <w:tr w:rsidR="00F32F20" w:rsidRPr="001A0E8E" w14:paraId="495E9C3A" w14:textId="77777777" w:rsidTr="00912FCD">
        <w:trPr>
          <w:trHeight w:val="377"/>
        </w:trPr>
        <w:tc>
          <w:tcPr>
            <w:tcW w:w="2712" w:type="dxa"/>
          </w:tcPr>
          <w:p w14:paraId="3A669035" w14:textId="6B6D5F56" w:rsidR="00F32F20" w:rsidRPr="001A0E8E" w:rsidRDefault="00F32F20" w:rsidP="00E83301">
            <w:pPr>
              <w:keepNext/>
              <w:tabs>
                <w:tab w:val="center" w:pos="1248"/>
              </w:tabs>
              <w:spacing w:after="120"/>
              <w:jc w:val="both"/>
              <w:rPr>
                <w:rFonts w:ascii="Gill Sans MT" w:hAnsi="Gill Sans MT"/>
                <w:lang w:val="en-US"/>
              </w:rPr>
            </w:pPr>
            <w:r w:rsidRPr="001A0E8E">
              <w:rPr>
                <w:rFonts w:ascii="Gill Sans MT" w:hAnsi="Gill Sans MT"/>
                <w:lang w:val="en-US"/>
              </w:rPr>
              <w:t>£</w:t>
            </w:r>
            <w:r w:rsidR="00E83301">
              <w:rPr>
                <w:rFonts w:ascii="Gill Sans MT" w:hAnsi="Gill Sans MT"/>
                <w:lang w:val="en-US"/>
              </w:rPr>
              <w:t>4,</w:t>
            </w:r>
            <w:r w:rsidR="00691343">
              <w:rPr>
                <w:rFonts w:ascii="Gill Sans MT" w:hAnsi="Gill Sans MT"/>
                <w:lang w:val="en-US"/>
              </w:rPr>
              <w:t>458,342</w:t>
            </w:r>
          </w:p>
        </w:tc>
        <w:tc>
          <w:tcPr>
            <w:tcW w:w="2712" w:type="dxa"/>
          </w:tcPr>
          <w:p w14:paraId="0BB70AFD" w14:textId="2D57CA2A" w:rsidR="00F32F20" w:rsidRPr="001A0E8E" w:rsidRDefault="00F32F20" w:rsidP="00912FCD">
            <w:pPr>
              <w:keepNext/>
              <w:spacing w:after="120"/>
              <w:jc w:val="both"/>
              <w:rPr>
                <w:rFonts w:ascii="Gill Sans MT" w:hAnsi="Gill Sans MT"/>
                <w:lang w:val="en-US"/>
              </w:rPr>
            </w:pPr>
            <w:r w:rsidRPr="001A0E8E">
              <w:rPr>
                <w:rFonts w:ascii="Gill Sans MT" w:hAnsi="Gill Sans MT"/>
                <w:lang w:val="en-US"/>
              </w:rPr>
              <w:t>£</w:t>
            </w:r>
            <w:r w:rsidR="00E83301">
              <w:rPr>
                <w:rFonts w:ascii="Gill Sans MT" w:hAnsi="Gill Sans MT"/>
                <w:lang w:val="en-US"/>
              </w:rPr>
              <w:t>2,</w:t>
            </w:r>
            <w:r w:rsidR="00691343">
              <w:rPr>
                <w:rFonts w:ascii="Gill Sans MT" w:hAnsi="Gill Sans MT"/>
                <w:lang w:val="en-US"/>
              </w:rPr>
              <w:t>302,167</w:t>
            </w:r>
          </w:p>
        </w:tc>
        <w:tc>
          <w:tcPr>
            <w:tcW w:w="2712" w:type="dxa"/>
          </w:tcPr>
          <w:p w14:paraId="082D3533" w14:textId="61E47D35" w:rsidR="00F32F20" w:rsidRPr="001A0E8E" w:rsidRDefault="00F32F20" w:rsidP="00912FCD">
            <w:pPr>
              <w:keepNext/>
              <w:spacing w:after="120"/>
              <w:jc w:val="both"/>
              <w:rPr>
                <w:rFonts w:ascii="Gill Sans MT" w:hAnsi="Gill Sans MT"/>
                <w:lang w:val="en-US"/>
              </w:rPr>
            </w:pPr>
            <w:r w:rsidRPr="001A0E8E">
              <w:rPr>
                <w:rFonts w:ascii="Gill Sans MT" w:hAnsi="Gill Sans MT"/>
                <w:lang w:val="en-US"/>
              </w:rPr>
              <w:t>£</w:t>
            </w:r>
            <w:r w:rsidR="00691343">
              <w:rPr>
                <w:rFonts w:ascii="Gill Sans MT" w:hAnsi="Gill Sans MT"/>
                <w:lang w:val="en-US"/>
              </w:rPr>
              <w:t>6,760,509</w:t>
            </w:r>
          </w:p>
        </w:tc>
      </w:tr>
    </w:tbl>
    <w:p w14:paraId="4D9C2779" w14:textId="77777777" w:rsidR="00F32F20" w:rsidRDefault="00F32F20" w:rsidP="00F32F20"/>
    <w:p w14:paraId="7AA334F4" w14:textId="77777777" w:rsidR="00F32F20" w:rsidRDefault="00F32F20" w:rsidP="00F32F20"/>
    <w:p w14:paraId="62337956" w14:textId="77777777" w:rsidR="00F32F20" w:rsidRDefault="00F32F20" w:rsidP="00F32F20"/>
    <w:p w14:paraId="7D8EDE99" w14:textId="77777777" w:rsidR="00DD414F" w:rsidRDefault="00DD414F"/>
    <w:sectPr w:rsidR="00DD4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11BF9"/>
    <w:multiLevelType w:val="hybridMultilevel"/>
    <w:tmpl w:val="58C880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D8E3107"/>
    <w:multiLevelType w:val="hybridMultilevel"/>
    <w:tmpl w:val="2CCE36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2197005"/>
    <w:multiLevelType w:val="hybridMultilevel"/>
    <w:tmpl w:val="A19087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3C17E5E"/>
    <w:multiLevelType w:val="hybridMultilevel"/>
    <w:tmpl w:val="5D18BF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E1A4817"/>
    <w:multiLevelType w:val="hybridMultilevel"/>
    <w:tmpl w:val="ECE2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5466B2"/>
    <w:multiLevelType w:val="hybridMultilevel"/>
    <w:tmpl w:val="B48C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7576600">
    <w:abstractNumId w:val="4"/>
  </w:num>
  <w:num w:numId="2" w16cid:durableId="649601902">
    <w:abstractNumId w:val="5"/>
  </w:num>
  <w:num w:numId="3" w16cid:durableId="324745204">
    <w:abstractNumId w:val="0"/>
  </w:num>
  <w:num w:numId="4" w16cid:durableId="894850472">
    <w:abstractNumId w:val="3"/>
  </w:num>
  <w:num w:numId="5" w16cid:durableId="1840846663">
    <w:abstractNumId w:val="1"/>
  </w:num>
  <w:num w:numId="6" w16cid:durableId="114354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20"/>
    <w:rsid w:val="003A3FF3"/>
    <w:rsid w:val="004B22F3"/>
    <w:rsid w:val="00691343"/>
    <w:rsid w:val="009F6B1F"/>
    <w:rsid w:val="00DD414F"/>
    <w:rsid w:val="00E83301"/>
    <w:rsid w:val="00F3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C6B1"/>
  <w15:chartTrackingRefBased/>
  <w15:docId w15:val="{3BC80C53-BC1E-4202-8EA6-EBB9BA5B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2F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F20"/>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PlainText">
    <w:name w:val="Plain Text"/>
    <w:basedOn w:val="Normal"/>
    <w:link w:val="PlainTextChar"/>
    <w:rsid w:val="00F32F20"/>
    <w:pPr>
      <w:spacing w:after="0" w:line="240" w:lineRule="auto"/>
    </w:pPr>
    <w:rPr>
      <w:rFonts w:ascii="Courier New" w:eastAsia="Times New Roman" w:hAnsi="Courier New" w:cs="Courier New"/>
      <w:kern w:val="0"/>
      <w:sz w:val="20"/>
      <w:szCs w:val="20"/>
      <w:lang w:eastAsia="en-GB"/>
      <w14:ligatures w14:val="none"/>
    </w:rPr>
  </w:style>
  <w:style w:type="character" w:customStyle="1" w:styleId="PlainTextChar">
    <w:name w:val="Plain Text Char"/>
    <w:basedOn w:val="DefaultParagraphFont"/>
    <w:link w:val="PlainText"/>
    <w:rsid w:val="00F32F20"/>
    <w:rPr>
      <w:rFonts w:ascii="Courier New" w:eastAsia="Times New Roman"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D3BB0D5BA0A408A54AE35D49C087B" ma:contentTypeVersion="19" ma:contentTypeDescription="Create a new document." ma:contentTypeScope="" ma:versionID="4e1b2a571dfaa1657caa0ba38ab1891d">
  <xsd:schema xmlns:xsd="http://www.w3.org/2001/XMLSchema" xmlns:xs="http://www.w3.org/2001/XMLSchema" xmlns:p="http://schemas.microsoft.com/office/2006/metadata/properties" xmlns:ns2="655c033f-7d9a-40cd-a7ea-92e3555a3864" xmlns:ns3="a986aed1-1ae0-4961-b7ce-bea83f3d00aa" targetNamespace="http://schemas.microsoft.com/office/2006/metadata/properties" ma:root="true" ma:fieldsID="6027d85694d4c015fc2af07db2a79a62" ns2:_="" ns3:_="">
    <xsd:import namespace="655c033f-7d9a-40cd-a7ea-92e3555a3864"/>
    <xsd:import namespace="a986aed1-1ae0-4961-b7ce-bea83f3d0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Date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c033f-7d9a-40cd-a7ea-92e3555a3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DateTime" ma:index="21" nillable="true" ma:displayName="Date Time" ma:format="DateOnly" ma:internalName="Date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4c7c4cc-5d67-4d39-ad80-cf189b9459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6aed1-1ae0-4961-b7ce-bea83f3d0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fc7c98-5f3d-47e7-8d57-0e66efdcf7f2}" ma:internalName="TaxCatchAll" ma:showField="CatchAllData" ma:web="a986aed1-1ae0-4961-b7ce-bea83f3d0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5c033f-7d9a-40cd-a7ea-92e3555a3864">
      <Terms xmlns="http://schemas.microsoft.com/office/infopath/2007/PartnerControls"/>
    </lcf76f155ced4ddcb4097134ff3c332f>
    <DateTime xmlns="655c033f-7d9a-40cd-a7ea-92e3555a3864" xsi:nil="true"/>
    <Date xmlns="655c033f-7d9a-40cd-a7ea-92e3555a3864" xsi:nil="true"/>
    <TaxCatchAll xmlns="a986aed1-1ae0-4961-b7ce-bea83f3d00aa" xsi:nil="true"/>
  </documentManagement>
</p:properties>
</file>

<file path=customXml/itemProps1.xml><?xml version="1.0" encoding="utf-8"?>
<ds:datastoreItem xmlns:ds="http://schemas.openxmlformats.org/officeDocument/2006/customXml" ds:itemID="{89BF0C7A-E1A2-4199-91B1-46B1F4094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c033f-7d9a-40cd-a7ea-92e3555a3864"/>
    <ds:schemaRef ds:uri="a986aed1-1ae0-4961-b7ce-bea83f3d0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39BCD-2F39-4D1E-800B-4F9592D894ED}">
  <ds:schemaRefs>
    <ds:schemaRef ds:uri="http://schemas.microsoft.com/sharepoint/v3/contenttype/forms"/>
  </ds:schemaRefs>
</ds:datastoreItem>
</file>

<file path=customXml/itemProps3.xml><?xml version="1.0" encoding="utf-8"?>
<ds:datastoreItem xmlns:ds="http://schemas.openxmlformats.org/officeDocument/2006/customXml" ds:itemID="{95E7C512-777D-4A69-93EB-82804ED3A5F7}">
  <ds:schemaRefs>
    <ds:schemaRef ds:uri="http://schemas.microsoft.com/office/2006/metadata/properties"/>
    <ds:schemaRef ds:uri="http://schemas.microsoft.com/office/infopath/2007/PartnerControls"/>
    <ds:schemaRef ds:uri="655c033f-7d9a-40cd-a7ea-92e3555a3864"/>
    <ds:schemaRef ds:uri="a986aed1-1ae0-4961-b7ce-bea83f3d00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Burke</dc:creator>
  <cp:keywords/>
  <dc:description/>
  <cp:lastModifiedBy>Matt Burke</cp:lastModifiedBy>
  <cp:revision>4</cp:revision>
  <dcterms:created xsi:type="dcterms:W3CDTF">2023-12-12T14:34:00Z</dcterms:created>
  <dcterms:modified xsi:type="dcterms:W3CDTF">2023-12-12T14:48:00Z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0x0101008A4D3BB0D5BA0A408A54AE35D49C087B</vt:lpwstr>
  </property>
  <property fmtid="{D5CDD505-2E9C-101B-9397-08002B2CF9AE}" pid="3" name="MediaServiceImageTags">
    <vt:lpwstr/>
  </property>
</Properties>
</file>